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110bis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404772</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cs="Arial"/>
          <w:b/>
          <w:sz w:val="24"/>
          <w:szCs w:val="24"/>
          <w:lang w:eastAsia="zh-CN"/>
        </w:rPr>
        <w:fldChar w:fldCharType="begin"/>
      </w:r>
      <w:r>
        <w:rPr>
          <w:rFonts w:ascii="Arial" w:hAnsi="Arial" w:eastAsia="宋体" w:cs="Arial"/>
          <w:b/>
          <w:sz w:val="24"/>
          <w:szCs w:val="24"/>
          <w:lang w:eastAsia="zh-CN"/>
        </w:rPr>
        <w:instrText xml:space="preserve"> DOCPROPERTY  Location  \* MERGEFORMAT </w:instrText>
      </w:r>
      <w:r>
        <w:rPr>
          <w:rFonts w:ascii="Arial" w:hAnsi="Arial" w:eastAsia="宋体" w:cs="Arial"/>
          <w:b/>
          <w:sz w:val="24"/>
          <w:szCs w:val="24"/>
          <w:lang w:eastAsia="zh-CN"/>
        </w:rPr>
        <w:fldChar w:fldCharType="separate"/>
      </w:r>
      <w:r>
        <w:rPr>
          <w:rFonts w:ascii="Arial" w:hAnsi="Arial" w:eastAsia="宋体" w:cs="Arial"/>
          <w:b/>
          <w:sz w:val="24"/>
          <w:szCs w:val="24"/>
          <w:lang w:eastAsia="zh-CN"/>
        </w:rPr>
        <w:t>Changsha</w:t>
      </w:r>
      <w:r>
        <w:rPr>
          <w:rFonts w:ascii="Arial" w:hAnsi="Arial" w:eastAsia="宋体" w:cs="Arial"/>
          <w:b/>
          <w:sz w:val="24"/>
          <w:szCs w:val="24"/>
          <w:lang w:eastAsia="zh-CN"/>
        </w:rPr>
        <w:fldChar w:fldCharType="end"/>
      </w:r>
      <w:r>
        <w:rPr>
          <w:rFonts w:ascii="Arial" w:hAnsi="Arial" w:eastAsia="宋体" w:cs="Arial"/>
          <w:b/>
          <w:sz w:val="24"/>
          <w:szCs w:val="24"/>
          <w:lang w:eastAsia="zh-CN"/>
        </w:rPr>
        <w:t xml:space="preserve">, </w:t>
      </w:r>
      <w:r>
        <w:rPr>
          <w:rFonts w:ascii="Arial" w:hAnsi="Arial" w:eastAsia="宋体" w:cs="Arial"/>
          <w:b/>
          <w:sz w:val="24"/>
          <w:szCs w:val="24"/>
          <w:lang w:eastAsia="zh-CN"/>
        </w:rPr>
        <w:fldChar w:fldCharType="begin"/>
      </w:r>
      <w:r>
        <w:rPr>
          <w:rFonts w:ascii="Arial" w:hAnsi="Arial" w:eastAsia="宋体" w:cs="Arial"/>
          <w:b/>
          <w:sz w:val="24"/>
          <w:szCs w:val="24"/>
          <w:lang w:eastAsia="zh-CN"/>
        </w:rPr>
        <w:instrText xml:space="preserve"> DOCPROPERTY  Country  \* MERGEFORMAT </w:instrText>
      </w:r>
      <w:r>
        <w:rPr>
          <w:rFonts w:ascii="Arial" w:hAnsi="Arial" w:eastAsia="宋体" w:cs="Arial"/>
          <w:b/>
          <w:sz w:val="24"/>
          <w:szCs w:val="24"/>
          <w:lang w:eastAsia="zh-CN"/>
        </w:rPr>
        <w:fldChar w:fldCharType="separate"/>
      </w:r>
      <w:r>
        <w:rPr>
          <w:rFonts w:ascii="Arial" w:hAnsi="Arial" w:eastAsia="宋体" w:cs="Arial"/>
          <w:b/>
          <w:sz w:val="24"/>
          <w:szCs w:val="24"/>
          <w:lang w:eastAsia="zh-CN"/>
        </w:rPr>
        <w:t>China</w:t>
      </w:r>
      <w:r>
        <w:rPr>
          <w:rFonts w:ascii="Arial" w:hAnsi="Arial" w:eastAsia="宋体" w:cs="Arial"/>
          <w:b/>
          <w:sz w:val="24"/>
          <w:szCs w:val="24"/>
          <w:lang w:eastAsia="zh-CN"/>
        </w:rPr>
        <w:fldChar w:fldCharType="end"/>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15</w:t>
      </w:r>
      <w:r>
        <w:rPr>
          <w:rFonts w:hint="eastAsia" w:ascii="Arial" w:hAnsi="Arial" w:eastAsia="宋体" w:cs="Arial"/>
          <w:b/>
          <w:sz w:val="24"/>
          <w:szCs w:val="24"/>
          <w:vertAlign w:val="superscript"/>
          <w:lang w:val="en-US" w:eastAsia="zh-CN"/>
        </w:rPr>
        <w:t>th</w:t>
      </w:r>
      <w:r>
        <w:rPr>
          <w:rFonts w:ascii="Arial" w:hAnsi="Arial" w:eastAsia="宋体" w:cs="Arial"/>
          <w:b/>
          <w:sz w:val="24"/>
          <w:szCs w:val="24"/>
          <w:lang w:eastAsia="zh-CN"/>
        </w:rPr>
        <w:t xml:space="preserve"> - </w:t>
      </w:r>
      <w:r>
        <w:rPr>
          <w:rFonts w:hint="eastAsia" w:ascii="Arial" w:hAnsi="Arial" w:eastAsia="宋体" w:cs="Arial"/>
          <w:b/>
          <w:sz w:val="24"/>
          <w:szCs w:val="24"/>
          <w:lang w:val="en-US" w:eastAsia="zh-CN"/>
        </w:rPr>
        <w:t>19</w:t>
      </w:r>
      <w:r>
        <w:rPr>
          <w:rFonts w:hint="eastAsia" w:ascii="Arial" w:hAnsi="Arial" w:eastAsia="宋体" w:cs="Arial"/>
          <w:b/>
          <w:sz w:val="24"/>
          <w:szCs w:val="24"/>
          <w:vertAlign w:val="superscript"/>
          <w:lang w:val="en-US" w:eastAsia="zh-CN"/>
        </w:rPr>
        <w:t>th</w:t>
      </w:r>
      <w:r>
        <w:rPr>
          <w:rFonts w:hint="eastAsia" w:ascii="Arial" w:hAnsi="Arial" w:eastAsia="宋体" w:cs="Arial"/>
          <w:b/>
          <w:sz w:val="24"/>
          <w:szCs w:val="24"/>
          <w:lang w:val="en-US" w:eastAsia="zh-CN"/>
        </w:rPr>
        <w:t xml:space="preserve"> April</w:t>
      </w:r>
      <w:r>
        <w:rPr>
          <w:rFonts w:ascii="Arial" w:hAnsi="Arial" w:eastAsia="宋体"/>
          <w:b/>
          <w:color w:val="auto"/>
          <w:sz w:val="24"/>
          <w:lang w:eastAsia="zh-CN"/>
        </w:rPr>
        <w:t>, 202</w:t>
      </w:r>
      <w:r>
        <w:rPr>
          <w:rFonts w:hint="eastAsia" w:ascii="Arial" w:hAnsi="Arial" w:eastAsia="宋体"/>
          <w:b/>
          <w:color w:val="auto"/>
          <w:sz w:val="24"/>
          <w:lang w:val="en-US" w:eastAsia="zh-CN"/>
        </w:rPr>
        <w:t>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performance requirements multi-Rx</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6.3.3.1</w:t>
      </w:r>
      <w:bookmarkStart w:id="0" w:name="_GoBack"/>
      <w:bookmarkEnd w:id="0"/>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During last meeting, the discussion on performance part is triggered. Some initial discussion were held and the achievement were captured in [1] as below. In this paper, we provide our views on the performance requirements for multi-Rx.</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bidi w:val="0"/>
              <w:rPr>
                <w:b/>
                <w:bCs/>
                <w:u w:val="single"/>
                <w:lang w:eastAsia="ko-KR"/>
              </w:rPr>
            </w:pPr>
            <w:r>
              <w:rPr>
                <w:b/>
                <w:bCs/>
                <w:u w:val="single"/>
                <w:lang w:eastAsia="ko-KR"/>
              </w:rPr>
              <w:t>Whether to consider 4-layer MIMO in RRM test cases</w:t>
            </w:r>
          </w:p>
          <w:p>
            <w:pPr>
              <w:keepNext w:val="0"/>
              <w:keepLines w:val="0"/>
              <w:pageBreakBefore w:val="0"/>
              <w:widowControl w:val="0"/>
              <w:numPr>
                <w:ilvl w:val="0"/>
                <w:numId w:val="3"/>
              </w:numPr>
              <w:kinsoku/>
              <w:wordWrap/>
              <w:overflowPunct w:val="0"/>
              <w:topLinePunct w:val="0"/>
              <w:autoSpaceDE w:val="0"/>
              <w:autoSpaceDN w:val="0"/>
              <w:bidi w:val="0"/>
              <w:adjustRightInd w:val="0"/>
              <w:snapToGrid/>
              <w:textAlignment w:val="baseline"/>
              <w:rPr>
                <w:rFonts w:hint="eastAsia"/>
                <w:color w:val="auto"/>
                <w:sz w:val="22"/>
                <w:szCs w:val="24"/>
                <w:lang w:val="en-US" w:eastAsia="zh-CN"/>
              </w:rPr>
            </w:pPr>
            <w:r>
              <w:rPr>
                <w:rFonts w:hint="eastAsia"/>
                <w:color w:val="auto"/>
                <w:sz w:val="22"/>
                <w:szCs w:val="24"/>
                <w:lang w:val="en-US" w:eastAsia="zh-CN"/>
              </w:rPr>
              <w:t>4-layer MIMO is not verified in RRM test cases</w:t>
            </w:r>
          </w:p>
          <w:p>
            <w:pPr>
              <w:bidi w:val="0"/>
              <w:rPr>
                <w:b/>
                <w:bCs/>
                <w:u w:val="single"/>
                <w:lang w:eastAsia="ko-KR"/>
              </w:rPr>
            </w:pPr>
            <w:r>
              <w:rPr>
                <w:b/>
                <w:bCs/>
                <w:u w:val="single"/>
                <w:lang w:eastAsia="ko-KR"/>
              </w:rPr>
              <w:t>Number of probes in RRM test cases</w:t>
            </w:r>
          </w:p>
          <w:p>
            <w:pPr>
              <w:keepNext w:val="0"/>
              <w:keepLines w:val="0"/>
              <w:pageBreakBefore w:val="0"/>
              <w:widowControl w:val="0"/>
              <w:numPr>
                <w:ilvl w:val="0"/>
                <w:numId w:val="3"/>
              </w:numPr>
              <w:kinsoku/>
              <w:wordWrap/>
              <w:overflowPunct w:val="0"/>
              <w:topLinePunct w:val="0"/>
              <w:autoSpaceDE w:val="0"/>
              <w:autoSpaceDN w:val="0"/>
              <w:bidi w:val="0"/>
              <w:adjustRightInd w:val="0"/>
              <w:snapToGrid/>
              <w:textAlignment w:val="baseline"/>
              <w:rPr>
                <w:color w:val="auto"/>
                <w:sz w:val="22"/>
                <w:szCs w:val="24"/>
                <w:lang w:val="en-US" w:eastAsia="zh-CN"/>
              </w:rPr>
            </w:pPr>
            <w:r>
              <w:rPr>
                <w:rFonts w:hint="eastAsia"/>
                <w:color w:val="auto"/>
                <w:sz w:val="22"/>
                <w:szCs w:val="24"/>
                <w:lang w:val="en-US" w:eastAsia="zh-CN"/>
              </w:rPr>
              <w:t>F</w:t>
            </w:r>
            <w:r>
              <w:rPr>
                <w:color w:val="auto"/>
                <w:sz w:val="22"/>
                <w:szCs w:val="24"/>
                <w:lang w:val="en-US" w:eastAsia="zh-CN"/>
              </w:rPr>
              <w:t>or TCI state switching test</w:t>
            </w:r>
          </w:p>
          <w:p>
            <w:pPr>
              <w:keepNext w:val="0"/>
              <w:keepLines w:val="0"/>
              <w:pageBreakBefore w:val="0"/>
              <w:widowControl w:val="0"/>
              <w:numPr>
                <w:ilvl w:val="1"/>
                <w:numId w:val="3"/>
              </w:numPr>
              <w:kinsoku/>
              <w:wordWrap/>
              <w:overflowPunct w:val="0"/>
              <w:topLinePunct w:val="0"/>
              <w:autoSpaceDE w:val="0"/>
              <w:autoSpaceDN w:val="0"/>
              <w:bidi w:val="0"/>
              <w:adjustRightInd w:val="0"/>
              <w:snapToGrid/>
              <w:textAlignment w:val="baseline"/>
              <w:rPr>
                <w:color w:val="auto"/>
                <w:sz w:val="22"/>
                <w:szCs w:val="24"/>
                <w:lang w:val="en-US" w:eastAsia="zh-CN"/>
              </w:rPr>
            </w:pPr>
            <w:r>
              <w:rPr>
                <w:color w:val="auto"/>
                <w:sz w:val="22"/>
                <w:szCs w:val="24"/>
                <w:lang w:val="en-US" w:eastAsia="zh-CN"/>
              </w:rPr>
              <w:t>Define test at least for Single TCI to dual TCI ([RS1] to [RS2, RS3])</w:t>
            </w:r>
          </w:p>
          <w:p>
            <w:pPr>
              <w:keepNext w:val="0"/>
              <w:keepLines w:val="0"/>
              <w:pageBreakBefore w:val="0"/>
              <w:widowControl w:val="0"/>
              <w:numPr>
                <w:ilvl w:val="1"/>
                <w:numId w:val="3"/>
              </w:numPr>
              <w:kinsoku/>
              <w:wordWrap/>
              <w:overflowPunct w:val="0"/>
              <w:topLinePunct w:val="0"/>
              <w:autoSpaceDE w:val="0"/>
              <w:autoSpaceDN w:val="0"/>
              <w:bidi w:val="0"/>
              <w:adjustRightInd w:val="0"/>
              <w:snapToGrid/>
              <w:textAlignment w:val="baseline"/>
              <w:rPr>
                <w:color w:val="auto"/>
                <w:sz w:val="22"/>
                <w:szCs w:val="24"/>
                <w:lang w:val="en-US" w:eastAsia="zh-CN"/>
              </w:rPr>
            </w:pPr>
            <w:r>
              <w:rPr>
                <w:color w:val="auto"/>
                <w:sz w:val="22"/>
                <w:szCs w:val="24"/>
                <w:lang w:val="en-US" w:eastAsia="zh-CN"/>
              </w:rPr>
              <w:t>Further discuss dual-to-dual active TCI state switching if the testability is confirmed.</w:t>
            </w:r>
          </w:p>
          <w:p>
            <w:pPr>
              <w:keepNext w:val="0"/>
              <w:keepLines w:val="0"/>
              <w:pageBreakBefore w:val="0"/>
              <w:widowControl w:val="0"/>
              <w:numPr>
                <w:ilvl w:val="2"/>
                <w:numId w:val="3"/>
              </w:numPr>
              <w:kinsoku/>
              <w:wordWrap/>
              <w:overflowPunct w:val="0"/>
              <w:topLinePunct w:val="0"/>
              <w:autoSpaceDE w:val="0"/>
              <w:autoSpaceDN w:val="0"/>
              <w:bidi w:val="0"/>
              <w:adjustRightInd w:val="0"/>
              <w:snapToGrid/>
              <w:textAlignment w:val="baseline"/>
              <w:rPr>
                <w:color w:val="auto"/>
                <w:sz w:val="22"/>
                <w:szCs w:val="24"/>
                <w:lang w:val="en-US" w:eastAsia="zh-CN"/>
              </w:rPr>
            </w:pPr>
            <w:r>
              <w:rPr>
                <w:color w:val="auto"/>
                <w:sz w:val="22"/>
                <w:szCs w:val="24"/>
                <w:lang w:val="en-US" w:eastAsia="zh-CN"/>
              </w:rPr>
              <w:t xml:space="preserve">Option </w:t>
            </w:r>
            <w:r>
              <w:rPr>
                <w:rFonts w:hint="eastAsia"/>
                <w:color w:val="auto"/>
                <w:sz w:val="22"/>
                <w:szCs w:val="24"/>
                <w:lang w:val="en-US" w:eastAsia="zh-CN"/>
              </w:rPr>
              <w:t>a</w:t>
            </w:r>
            <w:r>
              <w:rPr>
                <w:color w:val="auto"/>
                <w:sz w:val="22"/>
                <w:szCs w:val="24"/>
                <w:lang w:val="en-US" w:eastAsia="zh-CN"/>
              </w:rPr>
              <w:t>:</w:t>
            </w:r>
          </w:p>
          <w:p>
            <w:pPr>
              <w:keepNext w:val="0"/>
              <w:keepLines w:val="0"/>
              <w:pageBreakBefore w:val="0"/>
              <w:widowControl w:val="0"/>
              <w:kinsoku/>
              <w:wordWrap/>
              <w:overflowPunct w:val="0"/>
              <w:topLinePunct w:val="0"/>
              <w:autoSpaceDE w:val="0"/>
              <w:autoSpaceDN w:val="0"/>
              <w:bidi w:val="0"/>
              <w:adjustRightInd w:val="0"/>
              <w:snapToGrid/>
              <w:ind w:left="2416" w:leftChars="1208"/>
              <w:textAlignment w:val="baseline"/>
              <w:rPr>
                <w:color w:val="auto"/>
                <w:sz w:val="22"/>
                <w:szCs w:val="24"/>
                <w:lang w:val="en-US" w:eastAsia="zh-CN"/>
              </w:rPr>
            </w:pPr>
            <w:r>
              <w:rPr>
                <w:color w:val="auto"/>
                <w:sz w:val="22"/>
                <w:szCs w:val="24"/>
                <w:lang w:val="en-US" w:eastAsia="zh-CN"/>
              </w:rPr>
              <w:t>T1: Two TCI [RS1, RS3], with non-overlapping PDSCH</w:t>
            </w:r>
          </w:p>
          <w:p>
            <w:pPr>
              <w:keepNext w:val="0"/>
              <w:keepLines w:val="0"/>
              <w:pageBreakBefore w:val="0"/>
              <w:widowControl w:val="0"/>
              <w:kinsoku/>
              <w:wordWrap/>
              <w:overflowPunct w:val="0"/>
              <w:topLinePunct w:val="0"/>
              <w:autoSpaceDE w:val="0"/>
              <w:autoSpaceDN w:val="0"/>
              <w:bidi w:val="0"/>
              <w:adjustRightInd w:val="0"/>
              <w:snapToGrid/>
              <w:ind w:left="2416" w:leftChars="1208"/>
              <w:textAlignment w:val="baseline"/>
              <w:rPr>
                <w:color w:val="auto"/>
                <w:sz w:val="22"/>
                <w:szCs w:val="24"/>
                <w:lang w:val="en-US" w:eastAsia="zh-CN"/>
              </w:rPr>
            </w:pPr>
            <w:r>
              <w:rPr>
                <w:color w:val="auto"/>
                <w:sz w:val="22"/>
                <w:szCs w:val="24"/>
                <w:lang w:val="en-US" w:eastAsia="zh-CN"/>
              </w:rPr>
              <w:t>T2: Two TCI [RS1, RS2], with RS1 and RS2 are a beam pair</w:t>
            </w:r>
          </w:p>
          <w:p>
            <w:pPr>
              <w:keepNext w:val="0"/>
              <w:keepLines w:val="0"/>
              <w:pageBreakBefore w:val="0"/>
              <w:widowControl w:val="0"/>
              <w:numPr>
                <w:ilvl w:val="2"/>
                <w:numId w:val="3"/>
              </w:numPr>
              <w:kinsoku/>
              <w:wordWrap/>
              <w:overflowPunct w:val="0"/>
              <w:topLinePunct w:val="0"/>
              <w:autoSpaceDE w:val="0"/>
              <w:autoSpaceDN w:val="0"/>
              <w:bidi w:val="0"/>
              <w:adjustRightInd w:val="0"/>
              <w:snapToGrid/>
              <w:textAlignment w:val="baseline"/>
              <w:rPr>
                <w:color w:val="auto"/>
                <w:sz w:val="22"/>
                <w:szCs w:val="24"/>
                <w:lang w:val="en-US" w:eastAsia="zh-CN"/>
              </w:rPr>
            </w:pPr>
            <w:r>
              <w:rPr>
                <w:color w:val="auto"/>
                <w:sz w:val="22"/>
                <w:szCs w:val="24"/>
                <w:lang w:val="en-US" w:eastAsia="zh-CN"/>
              </w:rPr>
              <w:t xml:space="preserve">FFS Option </w:t>
            </w:r>
            <w:r>
              <w:rPr>
                <w:rFonts w:hint="eastAsia"/>
                <w:color w:val="auto"/>
                <w:sz w:val="22"/>
                <w:szCs w:val="24"/>
                <w:lang w:val="en-US" w:eastAsia="zh-CN"/>
              </w:rPr>
              <w:t>b</w:t>
            </w:r>
            <w:r>
              <w:rPr>
                <w:color w:val="auto"/>
                <w:sz w:val="22"/>
                <w:szCs w:val="24"/>
                <w:lang w:val="en-US" w:eastAsia="zh-CN"/>
              </w:rPr>
              <w:t xml:space="preserve"> (feasibility to be further confirmed):</w:t>
            </w:r>
          </w:p>
          <w:p>
            <w:pPr>
              <w:keepNext w:val="0"/>
              <w:keepLines w:val="0"/>
              <w:pageBreakBefore w:val="0"/>
              <w:widowControl w:val="0"/>
              <w:kinsoku/>
              <w:wordWrap/>
              <w:overflowPunct w:val="0"/>
              <w:topLinePunct w:val="0"/>
              <w:autoSpaceDE w:val="0"/>
              <w:autoSpaceDN w:val="0"/>
              <w:bidi w:val="0"/>
              <w:adjustRightInd w:val="0"/>
              <w:snapToGrid/>
              <w:ind w:left="2416" w:leftChars="1208"/>
              <w:textAlignment w:val="baseline"/>
              <w:rPr>
                <w:color w:val="auto"/>
                <w:sz w:val="22"/>
                <w:szCs w:val="24"/>
                <w:lang w:val="en-US" w:eastAsia="zh-CN"/>
              </w:rPr>
            </w:pPr>
            <w:r>
              <w:rPr>
                <w:color w:val="auto"/>
                <w:sz w:val="22"/>
                <w:szCs w:val="24"/>
                <w:lang w:val="en-US" w:eastAsia="zh-CN"/>
              </w:rPr>
              <w:t>T1: Two TCI [RS1, RS3] (source), with RS1 and RS3 are a beam pair</w:t>
            </w:r>
          </w:p>
          <w:p>
            <w:pPr>
              <w:keepNext w:val="0"/>
              <w:keepLines w:val="0"/>
              <w:pageBreakBefore w:val="0"/>
              <w:widowControl w:val="0"/>
              <w:kinsoku/>
              <w:wordWrap/>
              <w:overflowPunct w:val="0"/>
              <w:topLinePunct w:val="0"/>
              <w:autoSpaceDE w:val="0"/>
              <w:autoSpaceDN w:val="0"/>
              <w:bidi w:val="0"/>
              <w:adjustRightInd w:val="0"/>
              <w:snapToGrid/>
              <w:ind w:left="2416" w:leftChars="1208"/>
              <w:textAlignment w:val="baseline"/>
              <w:rPr>
                <w:color w:val="auto"/>
                <w:sz w:val="22"/>
                <w:szCs w:val="24"/>
                <w:lang w:val="en-US" w:eastAsia="zh-CN"/>
              </w:rPr>
            </w:pPr>
            <w:r>
              <w:rPr>
                <w:color w:val="auto"/>
                <w:sz w:val="22"/>
                <w:szCs w:val="24"/>
                <w:lang w:val="en-US" w:eastAsia="zh-CN"/>
              </w:rPr>
              <w:t>T2: Two TCI [RS2, RS4] (target), with RS2 and RS4 are a beam pair</w:t>
            </w:r>
          </w:p>
          <w:p>
            <w:pPr>
              <w:keepNext w:val="0"/>
              <w:keepLines w:val="0"/>
              <w:pageBreakBefore w:val="0"/>
              <w:widowControl w:val="0"/>
              <w:kinsoku/>
              <w:wordWrap/>
              <w:overflowPunct w:val="0"/>
              <w:topLinePunct w:val="0"/>
              <w:autoSpaceDE w:val="0"/>
              <w:autoSpaceDN w:val="0"/>
              <w:bidi w:val="0"/>
              <w:adjustRightInd w:val="0"/>
              <w:snapToGrid/>
              <w:ind w:left="2416" w:leftChars="1208"/>
              <w:textAlignment w:val="baseline"/>
              <w:rPr>
                <w:color w:val="auto"/>
                <w:sz w:val="22"/>
                <w:szCs w:val="24"/>
                <w:lang w:val="en-US" w:eastAsia="zh-CN"/>
              </w:rPr>
            </w:pPr>
            <w:r>
              <w:rPr>
                <w:color w:val="auto"/>
                <w:sz w:val="22"/>
                <w:szCs w:val="24"/>
                <w:lang w:val="en-US" w:eastAsia="zh-CN"/>
              </w:rPr>
              <w:t xml:space="preserve">The offset of beam pair in T2 is </w:t>
            </w:r>
            <w:r>
              <w:rPr>
                <w:rFonts w:hint="eastAsia"/>
                <w:color w:val="auto"/>
                <w:sz w:val="22"/>
                <w:szCs w:val="24"/>
                <w:lang w:val="en-US" w:eastAsia="zh-CN"/>
              </w:rPr>
              <w:t>n</w:t>
            </w:r>
            <w:r>
              <w:rPr>
                <w:color w:val="auto"/>
                <w:sz w:val="22"/>
                <w:szCs w:val="24"/>
                <w:lang w:val="en-US" w:eastAsia="zh-CN"/>
              </w:rPr>
              <w:t>ot the same of the offset in T1.</w:t>
            </w:r>
          </w:p>
          <w:p>
            <w:pPr>
              <w:bidi w:val="0"/>
              <w:rPr>
                <w:b/>
                <w:bCs/>
                <w:u w:val="single"/>
                <w:lang w:eastAsia="ko-KR"/>
              </w:rPr>
            </w:pPr>
            <w:r>
              <w:rPr>
                <w:b/>
                <w:bCs/>
                <w:u w:val="single"/>
                <w:lang w:eastAsia="ko-KR"/>
              </w:rPr>
              <w:t>Test case(s) for scheduling restriction</w:t>
            </w:r>
          </w:p>
          <w:p>
            <w:pPr>
              <w:keepNext w:val="0"/>
              <w:keepLines w:val="0"/>
              <w:pageBreakBefore w:val="0"/>
              <w:widowControl w:val="0"/>
              <w:numPr>
                <w:ilvl w:val="0"/>
                <w:numId w:val="3"/>
              </w:numPr>
              <w:kinsoku/>
              <w:wordWrap/>
              <w:overflowPunct/>
              <w:topLinePunct w:val="0"/>
              <w:autoSpaceDE/>
              <w:autoSpaceDN/>
              <w:bidi w:val="0"/>
              <w:adjustRightInd/>
              <w:snapToGrid/>
              <w:ind w:left="720" w:hanging="363"/>
              <w:textAlignment w:val="auto"/>
              <w:rPr>
                <w:color w:val="auto"/>
                <w:sz w:val="22"/>
                <w:szCs w:val="24"/>
                <w:lang w:val="en-US" w:eastAsia="zh-CN"/>
              </w:rPr>
            </w:pPr>
            <w:r>
              <w:rPr>
                <w:color w:val="auto"/>
                <w:sz w:val="22"/>
                <w:szCs w:val="24"/>
                <w:lang w:val="en-US" w:eastAsia="zh-CN"/>
              </w:rPr>
              <w:t>Introduced on</w:t>
            </w:r>
            <w:r>
              <w:rPr>
                <w:rFonts w:hint="eastAsia"/>
                <w:color w:val="auto"/>
                <w:sz w:val="22"/>
                <w:szCs w:val="24"/>
                <w:lang w:val="en-US" w:eastAsia="zh-CN"/>
              </w:rPr>
              <w:t>e</w:t>
            </w:r>
            <w:r>
              <w:rPr>
                <w:color w:val="auto"/>
                <w:sz w:val="22"/>
                <w:szCs w:val="24"/>
                <w:lang w:val="en-US" w:eastAsia="zh-CN"/>
              </w:rPr>
              <w:t xml:space="preserve"> test case</w:t>
            </w:r>
          </w:p>
          <w:p>
            <w:pPr>
              <w:keepNext w:val="0"/>
              <w:keepLines w:val="0"/>
              <w:pageBreakBefore w:val="0"/>
              <w:widowControl w:val="0"/>
              <w:numPr>
                <w:ilvl w:val="1"/>
                <w:numId w:val="3"/>
              </w:numPr>
              <w:kinsoku/>
              <w:wordWrap/>
              <w:overflowPunct/>
              <w:topLinePunct w:val="0"/>
              <w:autoSpaceDE/>
              <w:autoSpaceDN/>
              <w:bidi w:val="0"/>
              <w:adjustRightInd/>
              <w:snapToGrid/>
              <w:ind w:hanging="363"/>
              <w:textAlignment w:val="auto"/>
              <w:rPr>
                <w:color w:val="auto"/>
                <w:sz w:val="22"/>
                <w:szCs w:val="24"/>
                <w:lang w:val="en-US" w:eastAsia="zh-CN"/>
              </w:rPr>
            </w:pPr>
            <w:r>
              <w:rPr>
                <w:rFonts w:hint="eastAsia"/>
                <w:color w:val="auto"/>
                <w:sz w:val="22"/>
                <w:szCs w:val="24"/>
                <w:lang w:val="en-US" w:eastAsia="zh-CN"/>
              </w:rPr>
              <w:t>C</w:t>
            </w:r>
            <w:r>
              <w:rPr>
                <w:color w:val="auto"/>
                <w:sz w:val="22"/>
                <w:szCs w:val="24"/>
                <w:lang w:val="en-US" w:eastAsia="zh-CN"/>
              </w:rPr>
              <w:t>ombine GBBR with scheduling restriction, i.e., GBBR is always configured in the test.</w:t>
            </w:r>
          </w:p>
          <w:p>
            <w:pPr>
              <w:keepNext w:val="0"/>
              <w:keepLines w:val="0"/>
              <w:pageBreakBefore w:val="0"/>
              <w:widowControl w:val="0"/>
              <w:numPr>
                <w:ilvl w:val="1"/>
                <w:numId w:val="3"/>
              </w:numPr>
              <w:kinsoku/>
              <w:wordWrap/>
              <w:overflowPunct/>
              <w:topLinePunct w:val="0"/>
              <w:autoSpaceDE/>
              <w:autoSpaceDN/>
              <w:bidi w:val="0"/>
              <w:adjustRightInd/>
              <w:snapToGrid/>
              <w:ind w:hanging="363"/>
              <w:textAlignment w:val="auto"/>
              <w:rPr>
                <w:color w:val="auto"/>
                <w:sz w:val="22"/>
                <w:szCs w:val="24"/>
                <w:lang w:val="en-US" w:eastAsia="zh-CN"/>
              </w:rPr>
            </w:pPr>
            <w:r>
              <w:rPr>
                <w:color w:val="auto"/>
                <w:sz w:val="22"/>
                <w:szCs w:val="24"/>
                <w:lang w:val="en-US" w:eastAsia="zh-CN"/>
              </w:rPr>
              <w:t>Scheduling restriction relaxation during the L1-RSRP non-GBBR is tested in the follow-up L1-RSRP non-GBBR measurement.</w:t>
            </w:r>
          </w:p>
          <w:p>
            <w:pPr>
              <w:keepNext w:val="0"/>
              <w:keepLines w:val="0"/>
              <w:pageBreakBefore w:val="0"/>
              <w:widowControl w:val="0"/>
              <w:numPr>
                <w:ilvl w:val="1"/>
                <w:numId w:val="3"/>
              </w:numPr>
              <w:kinsoku/>
              <w:wordWrap/>
              <w:overflowPunct/>
              <w:topLinePunct w:val="0"/>
              <w:autoSpaceDE/>
              <w:autoSpaceDN/>
              <w:bidi w:val="0"/>
              <w:adjustRightInd/>
              <w:snapToGrid/>
              <w:ind w:hanging="363"/>
              <w:textAlignment w:val="auto"/>
              <w:rPr>
                <w:color w:val="auto"/>
                <w:sz w:val="22"/>
                <w:szCs w:val="24"/>
                <w:lang w:val="en-US" w:eastAsia="zh-CN"/>
              </w:rPr>
            </w:pPr>
            <w:r>
              <w:rPr>
                <w:rFonts w:hint="eastAsia"/>
                <w:color w:val="auto"/>
                <w:sz w:val="22"/>
                <w:szCs w:val="24"/>
                <w:lang w:val="en-US" w:eastAsia="zh-CN"/>
              </w:rPr>
              <w:t>O</w:t>
            </w:r>
            <w:r>
              <w:rPr>
                <w:color w:val="auto"/>
                <w:sz w:val="22"/>
                <w:szCs w:val="24"/>
                <w:lang w:val="en-US" w:eastAsia="zh-CN"/>
              </w:rPr>
              <w:t>nly L1-RSRP GBBR measurement delay requirements are tested in this test, i.e., no accuracy is tested in this test.</w:t>
            </w:r>
          </w:p>
          <w:p>
            <w:pPr>
              <w:keepNext w:val="0"/>
              <w:keepLines w:val="0"/>
              <w:pageBreakBefore w:val="0"/>
              <w:widowControl w:val="0"/>
              <w:numPr>
                <w:ilvl w:val="1"/>
                <w:numId w:val="3"/>
              </w:numPr>
              <w:kinsoku/>
              <w:wordWrap/>
              <w:overflowPunct/>
              <w:topLinePunct w:val="0"/>
              <w:autoSpaceDE/>
              <w:autoSpaceDN/>
              <w:bidi w:val="0"/>
              <w:adjustRightInd/>
              <w:snapToGrid/>
              <w:ind w:hanging="363"/>
              <w:textAlignment w:val="auto"/>
              <w:rPr>
                <w:color w:val="auto"/>
                <w:sz w:val="22"/>
                <w:szCs w:val="24"/>
                <w:lang w:val="en-US" w:eastAsia="zh-CN"/>
              </w:rPr>
            </w:pPr>
            <w:r>
              <w:rPr>
                <w:rFonts w:hint="eastAsia"/>
                <w:color w:val="auto"/>
                <w:sz w:val="22"/>
                <w:szCs w:val="24"/>
                <w:lang w:val="en-US" w:eastAsia="zh-CN"/>
              </w:rPr>
              <w:t>M</w:t>
            </w:r>
            <w:r>
              <w:rPr>
                <w:color w:val="auto"/>
                <w:sz w:val="22"/>
                <w:szCs w:val="24"/>
                <w:lang w:val="en-US" w:eastAsia="zh-CN"/>
              </w:rPr>
              <w:t>easurement restriction requirements are also tested in this test.</w:t>
            </w:r>
          </w:p>
          <w:p>
            <w:pPr>
              <w:keepNext w:val="0"/>
              <w:keepLines w:val="0"/>
              <w:pageBreakBefore w:val="0"/>
              <w:widowControl w:val="0"/>
              <w:kinsoku/>
              <w:wordWrap/>
              <w:overflowPunct w:val="0"/>
              <w:topLinePunct w:val="0"/>
              <w:autoSpaceDE w:val="0"/>
              <w:autoSpaceDN w:val="0"/>
              <w:bidi w:val="0"/>
              <w:adjustRightInd w:val="0"/>
              <w:snapToGrid/>
              <w:textAlignment w:val="baseline"/>
              <w:rPr>
                <w:rFonts w:hint="eastAsia"/>
                <w:color w:val="auto"/>
                <w:sz w:val="22"/>
                <w:szCs w:val="24"/>
                <w:lang w:val="en-US" w:eastAsia="zh-CN"/>
              </w:rPr>
            </w:pPr>
          </w:p>
        </w:tc>
      </w:tr>
    </w:tbl>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The enhancements regarding the multi-Rx identified in core part all should be tested to verify the expected requirements and UE behaviors. During last meeting, it has been identified that one test case is introduced to verify the scheduling restriction relaxation and measurement restriction relaxation, and at the meanwhile, the GBBR is combined with the scheduling restriction relaxation. Furthermore, the test case for single to dual TCI state switching was also decided in last meeting. Besides these test case, still some other enhancements need to verify. We discuss the test from the following aspects in this paper:</w:t>
      </w:r>
    </w:p>
    <w:p>
      <w:pPr>
        <w:pStyle w:val="8"/>
        <w:numPr>
          <w:ilvl w:val="0"/>
          <w:numId w:val="5"/>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Test case for fast beam sweeping</w:t>
      </w:r>
    </w:p>
    <w:p>
      <w:pPr>
        <w:pStyle w:val="8"/>
        <w:numPr>
          <w:ilvl w:val="0"/>
          <w:numId w:val="5"/>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default" w:eastAsia="宋体"/>
          <w:color w:val="auto"/>
          <w:sz w:val="20"/>
          <w:szCs w:val="20"/>
          <w:lang w:val="en-US" w:eastAsia="zh-CN"/>
        </w:rPr>
        <w:t>Test case(s) for dual TCI state switching</w:t>
      </w:r>
    </w:p>
    <w:p>
      <w:pPr>
        <w:bidi w:val="0"/>
        <w:rPr>
          <w:lang w:eastAsia="ko-KR"/>
        </w:rPr>
      </w:pPr>
    </w:p>
    <w:p>
      <w:pPr>
        <w:bidi w:val="0"/>
        <w:rPr>
          <w:u w:val="single"/>
          <w:lang w:eastAsia="ko-KR"/>
        </w:rPr>
      </w:pPr>
      <w:r>
        <w:rPr>
          <w:u w:val="single"/>
          <w:lang w:eastAsia="ko-KR"/>
        </w:rPr>
        <w:t>Test case for fast beam sweeping</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The fast beam sweeping is an essential enhancement introduced in core part with optional UE capability for multi-Rx. Regarding how to verify this enhancement, the following options were proposed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keepNext w:val="0"/>
              <w:keepLines w:val="0"/>
              <w:pageBreakBefore w:val="0"/>
              <w:widowControl w:val="0"/>
              <w:numPr>
                <w:ilvl w:val="0"/>
                <w:numId w:val="3"/>
              </w:numPr>
              <w:kinsoku/>
              <w:wordWrap/>
              <w:overflowPunct/>
              <w:topLinePunct w:val="0"/>
              <w:autoSpaceDE/>
              <w:autoSpaceDN/>
              <w:bidi w:val="0"/>
              <w:adjustRightInd/>
              <w:snapToGrid/>
              <w:ind w:left="720" w:hanging="363"/>
              <w:textAlignment w:val="auto"/>
              <w:rPr>
                <w:color w:val="auto"/>
                <w:sz w:val="22"/>
                <w:szCs w:val="24"/>
                <w:lang w:val="en-US" w:eastAsia="zh-CN"/>
              </w:rPr>
            </w:pPr>
            <w:r>
              <w:rPr>
                <w:rFonts w:hint="eastAsia"/>
                <w:color w:val="auto"/>
                <w:sz w:val="22"/>
                <w:szCs w:val="24"/>
                <w:lang w:val="en-US" w:eastAsia="zh-CN"/>
              </w:rPr>
              <w:t>O</w:t>
            </w:r>
            <w:r>
              <w:rPr>
                <w:color w:val="auto"/>
                <w:sz w:val="22"/>
                <w:szCs w:val="24"/>
                <w:lang w:val="en-US" w:eastAsia="zh-CN"/>
              </w:rPr>
              <w:t xml:space="preserve">ption 1: </w:t>
            </w:r>
          </w:p>
          <w:p>
            <w:pPr>
              <w:keepNext w:val="0"/>
              <w:keepLines w:val="0"/>
              <w:pageBreakBefore w:val="0"/>
              <w:widowControl w:val="0"/>
              <w:numPr>
                <w:ilvl w:val="1"/>
                <w:numId w:val="3"/>
              </w:numPr>
              <w:kinsoku/>
              <w:wordWrap/>
              <w:overflowPunct/>
              <w:topLinePunct w:val="0"/>
              <w:autoSpaceDE/>
              <w:autoSpaceDN/>
              <w:bidi w:val="0"/>
              <w:adjustRightInd/>
              <w:snapToGrid/>
              <w:ind w:left="1440" w:hanging="363"/>
              <w:textAlignment w:val="auto"/>
              <w:rPr>
                <w:color w:val="auto"/>
                <w:sz w:val="22"/>
                <w:szCs w:val="24"/>
                <w:lang w:val="en-US" w:eastAsia="zh-CN"/>
              </w:rPr>
            </w:pPr>
            <w:r>
              <w:rPr>
                <w:color w:val="auto"/>
                <w:sz w:val="22"/>
                <w:szCs w:val="24"/>
                <w:lang w:val="en-US" w:eastAsia="zh-CN"/>
              </w:rPr>
              <w:t xml:space="preserve">TC1: </w:t>
            </w:r>
            <w:r>
              <w:rPr>
                <w:rFonts w:hint="eastAsia"/>
                <w:color w:val="auto"/>
                <w:sz w:val="22"/>
                <w:szCs w:val="24"/>
                <w:lang w:val="en-US" w:eastAsia="zh-CN"/>
              </w:rPr>
              <w:t>D</w:t>
            </w:r>
            <w:r>
              <w:rPr>
                <w:color w:val="auto"/>
                <w:sz w:val="22"/>
                <w:szCs w:val="24"/>
                <w:lang w:val="en-US" w:eastAsia="zh-CN"/>
              </w:rPr>
              <w:t>efine test case for fast beam sweeping with non-GBBR L1-RSRP measurement with non-DRX.</w:t>
            </w:r>
          </w:p>
          <w:p>
            <w:pPr>
              <w:keepNext w:val="0"/>
              <w:keepLines w:val="0"/>
              <w:pageBreakBefore w:val="0"/>
              <w:widowControl w:val="0"/>
              <w:numPr>
                <w:ilvl w:val="1"/>
                <w:numId w:val="3"/>
              </w:numPr>
              <w:kinsoku/>
              <w:wordWrap/>
              <w:overflowPunct/>
              <w:topLinePunct w:val="0"/>
              <w:autoSpaceDE/>
              <w:autoSpaceDN/>
              <w:bidi w:val="0"/>
              <w:adjustRightInd/>
              <w:snapToGrid/>
              <w:ind w:left="1440" w:hanging="363"/>
              <w:textAlignment w:val="auto"/>
              <w:rPr>
                <w:color w:val="auto"/>
                <w:sz w:val="22"/>
                <w:szCs w:val="24"/>
                <w:lang w:val="en-US" w:eastAsia="zh-CN"/>
              </w:rPr>
            </w:pPr>
            <w:r>
              <w:rPr>
                <w:color w:val="auto"/>
                <w:sz w:val="22"/>
                <w:szCs w:val="24"/>
                <w:lang w:val="en-US" w:eastAsia="zh-CN"/>
              </w:rPr>
              <w:t xml:space="preserve">TC2: </w:t>
            </w:r>
            <w:r>
              <w:rPr>
                <w:rFonts w:hint="eastAsia"/>
                <w:color w:val="auto"/>
                <w:sz w:val="22"/>
                <w:szCs w:val="24"/>
                <w:lang w:val="en-US" w:eastAsia="zh-CN"/>
              </w:rPr>
              <w:t>D</w:t>
            </w:r>
            <w:r>
              <w:rPr>
                <w:color w:val="auto"/>
                <w:sz w:val="22"/>
                <w:szCs w:val="24"/>
                <w:lang w:val="en-US" w:eastAsia="zh-CN"/>
              </w:rPr>
              <w:t>efine test case for fast beam sweeping with [RLM] with non-DRX.</w:t>
            </w:r>
          </w:p>
          <w:p>
            <w:pPr>
              <w:keepNext w:val="0"/>
              <w:keepLines w:val="0"/>
              <w:pageBreakBefore w:val="0"/>
              <w:widowControl w:val="0"/>
              <w:numPr>
                <w:ilvl w:val="1"/>
                <w:numId w:val="3"/>
              </w:numPr>
              <w:kinsoku/>
              <w:wordWrap/>
              <w:overflowPunct/>
              <w:topLinePunct w:val="0"/>
              <w:autoSpaceDE/>
              <w:autoSpaceDN/>
              <w:bidi w:val="0"/>
              <w:adjustRightInd/>
              <w:snapToGrid/>
              <w:ind w:left="1440" w:hanging="363"/>
              <w:textAlignment w:val="auto"/>
              <w:rPr>
                <w:color w:val="auto"/>
                <w:sz w:val="22"/>
                <w:szCs w:val="24"/>
                <w:lang w:val="en-US" w:eastAsia="zh-CN"/>
              </w:rPr>
            </w:pPr>
            <w:r>
              <w:rPr>
                <w:rFonts w:hint="eastAsia"/>
                <w:color w:val="auto"/>
                <w:sz w:val="22"/>
                <w:szCs w:val="24"/>
                <w:lang w:val="en-US" w:eastAsia="zh-CN"/>
              </w:rPr>
              <w:t>N</w:t>
            </w:r>
            <w:r>
              <w:rPr>
                <w:color w:val="auto"/>
                <w:sz w:val="22"/>
                <w:szCs w:val="24"/>
                <w:lang w:val="en-US" w:eastAsia="zh-CN"/>
              </w:rPr>
              <w:t>ote: We may further discuss the conditions of how fast beam sweeping are applicable in the test configuration.</w:t>
            </w:r>
          </w:p>
          <w:p>
            <w:pPr>
              <w:keepNext w:val="0"/>
              <w:keepLines w:val="0"/>
              <w:pageBreakBefore w:val="0"/>
              <w:widowControl w:val="0"/>
              <w:numPr>
                <w:ilvl w:val="1"/>
                <w:numId w:val="3"/>
              </w:numPr>
              <w:kinsoku/>
              <w:wordWrap/>
              <w:overflowPunct/>
              <w:topLinePunct w:val="0"/>
              <w:autoSpaceDE/>
              <w:autoSpaceDN/>
              <w:bidi w:val="0"/>
              <w:adjustRightInd/>
              <w:snapToGrid/>
              <w:ind w:left="1440" w:hanging="363"/>
              <w:textAlignment w:val="auto"/>
              <w:rPr>
                <w:color w:val="auto"/>
                <w:sz w:val="22"/>
                <w:szCs w:val="24"/>
                <w:lang w:val="en-US" w:eastAsia="zh-CN"/>
              </w:rPr>
            </w:pPr>
            <w:r>
              <w:rPr>
                <w:rFonts w:hint="eastAsia"/>
                <w:color w:val="auto"/>
                <w:sz w:val="22"/>
                <w:szCs w:val="24"/>
                <w:lang w:val="en-US" w:eastAsia="zh-CN"/>
              </w:rPr>
              <w:t>F</w:t>
            </w:r>
            <w:r>
              <w:rPr>
                <w:color w:val="auto"/>
                <w:sz w:val="22"/>
                <w:szCs w:val="24"/>
                <w:lang w:val="en-US" w:eastAsia="zh-CN"/>
              </w:rPr>
              <w:t>FS AoA setup.</w:t>
            </w:r>
          </w:p>
          <w:p>
            <w:pPr>
              <w:keepNext w:val="0"/>
              <w:keepLines w:val="0"/>
              <w:pageBreakBefore w:val="0"/>
              <w:widowControl w:val="0"/>
              <w:numPr>
                <w:ilvl w:val="0"/>
                <w:numId w:val="3"/>
              </w:numPr>
              <w:kinsoku/>
              <w:wordWrap/>
              <w:overflowPunct/>
              <w:topLinePunct w:val="0"/>
              <w:autoSpaceDE/>
              <w:autoSpaceDN/>
              <w:bidi w:val="0"/>
              <w:adjustRightInd/>
              <w:snapToGrid/>
              <w:ind w:left="720" w:hanging="363"/>
              <w:textAlignment w:val="auto"/>
              <w:rPr>
                <w:color w:val="auto"/>
                <w:sz w:val="22"/>
                <w:szCs w:val="24"/>
                <w:lang w:val="en-US" w:eastAsia="zh-CN"/>
              </w:rPr>
            </w:pPr>
            <w:r>
              <w:rPr>
                <w:rFonts w:hint="eastAsia"/>
                <w:color w:val="auto"/>
                <w:sz w:val="22"/>
                <w:szCs w:val="24"/>
                <w:lang w:val="en-US" w:eastAsia="zh-CN"/>
              </w:rPr>
              <w:t>O</w:t>
            </w:r>
            <w:r>
              <w:rPr>
                <w:color w:val="auto"/>
                <w:sz w:val="22"/>
                <w:szCs w:val="24"/>
                <w:lang w:val="en-US" w:eastAsia="zh-CN"/>
              </w:rPr>
              <w:t xml:space="preserve">ption 2: </w:t>
            </w:r>
          </w:p>
          <w:p>
            <w:pPr>
              <w:keepNext w:val="0"/>
              <w:keepLines w:val="0"/>
              <w:pageBreakBefore w:val="0"/>
              <w:widowControl w:val="0"/>
              <w:numPr>
                <w:ilvl w:val="1"/>
                <w:numId w:val="3"/>
              </w:numPr>
              <w:kinsoku/>
              <w:wordWrap/>
              <w:overflowPunct/>
              <w:topLinePunct w:val="0"/>
              <w:autoSpaceDE/>
              <w:autoSpaceDN/>
              <w:bidi w:val="0"/>
              <w:adjustRightInd/>
              <w:snapToGrid/>
              <w:ind w:left="1440" w:hanging="363"/>
              <w:textAlignment w:val="auto"/>
              <w:rPr>
                <w:rFonts w:hint="default" w:eastAsia="宋体"/>
                <w:u w:val="single"/>
                <w:vertAlign w:val="baseline"/>
                <w:lang w:val="en-US" w:eastAsia="zh-CN"/>
              </w:rPr>
            </w:pPr>
            <w:r>
              <w:rPr>
                <w:color w:val="auto"/>
                <w:sz w:val="22"/>
                <w:szCs w:val="24"/>
                <w:lang w:val="en-US" w:eastAsia="zh-CN"/>
              </w:rPr>
              <w:t>Introduce new tests for fast beam sweeping by revising all relevant legacy tests.</w:t>
            </w:r>
            <w:r>
              <w:rPr>
                <w:rFonts w:hint="eastAsia"/>
                <w:color w:val="auto"/>
                <w:sz w:val="22"/>
                <w:szCs w:val="24"/>
                <w:lang w:val="en-US" w:eastAsia="zh-CN"/>
              </w:rPr>
              <w:t xml:space="preserve"> T</w:t>
            </w:r>
            <w:r>
              <w:rPr>
                <w:color w:val="auto"/>
                <w:sz w:val="22"/>
                <w:szCs w:val="24"/>
                <w:lang w:val="en-US" w:eastAsia="zh-CN"/>
              </w:rPr>
              <w:t>he UE passes multi-Rx test should not be tested with [same] legacy test.</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ko-KR"/>
        </w:rPr>
      </w:pPr>
      <w:r>
        <w:rPr>
          <w:rFonts w:hint="eastAsia" w:eastAsia="宋体"/>
          <w:color w:val="auto"/>
          <w:sz w:val="20"/>
          <w:szCs w:val="20"/>
          <w:lang w:val="en-US" w:eastAsia="zh-CN"/>
        </w:rPr>
        <w:t xml:space="preserve">While the condition of fast beam sweeping and whether it can be applicable in the GBBR/non-GBBR measurement is still discussed in core part. No matter in which L1 measurement procedure it can be applied, this enhancement should be tested. The possible L1 measurement includes GBBR L1-RSRP measurement, non-GBBR L1-RSRP measurement, RLM, BFD, CBD based on SSB. </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Introduce test cases to verify the fast beam sweeping, the candidate test case including the SSB based GBBR L1-RSRP measurement, non-GBBR L1-RSRP measurement, RLM, BFD and CBD.</w:t>
      </w:r>
    </w:p>
    <w:p>
      <w:pPr>
        <w:bidi w:val="0"/>
        <w:rPr>
          <w:rFonts w:hint="default"/>
          <w:u w:val="single"/>
          <w:lang w:val="en-US" w:eastAsia="zh-CN"/>
        </w:rPr>
      </w:pPr>
      <w:r>
        <w:rPr>
          <w:rFonts w:hint="default"/>
          <w:u w:val="single"/>
          <w:lang w:val="en-US" w:eastAsia="zh-CN"/>
        </w:rPr>
        <w:t>Test case(s) for dual TCI state switching</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last meeting, whether and how to define the test case for dual-to-dual active TCI state switching was warmly discussed while still uncertain. To our understanding, event under the assumption of total 3 active probes, it is feasible and necessary to test the dual-to-dual active TCI state switching, i.e. from [RS 1, RS 2] to [RS 1, RS 3]. here [RS 1, RS 3] is reported in a beam pair. </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It is suggested to verify the dual to dual active TCI state switching from [RS 1, RS 2] to [RS 1, RS3] under the assumption of 3 active probes.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Another more challenging case is the dual to dual active TCI state switching from [RS 1, RS 3] to [RS 2, RS 4], here both [RS 1, RS 3] and [RS 2, RS 4] are beam pairs. Under such TCI state switching test, 4 active probes are needed, accordingly, 2 AoA offsets are involved in. But if the UE only support one fixed AoA offset and satisfy the requirements under such AoA offset, the UE may fail to pass this test. So we are open to further discuss whether define such test case.</w:t>
      </w:r>
    </w:p>
    <w:p>
      <w:pPr>
        <w:bidi w:val="0"/>
        <w:rPr>
          <w:rFonts w:hint="eastAsia" w:eastAsia="宋体" w:cs="Times New Roman"/>
          <w:b/>
          <w:bCs/>
          <w:color w:val="auto"/>
          <w:sz w:val="20"/>
          <w:szCs w:val="20"/>
          <w:highlight w:val="none"/>
          <w:lang w:val="en-US" w:eastAsia="ko-KR" w:bidi="ar-SA"/>
        </w:rPr>
      </w:pPr>
      <w:r>
        <w:rPr>
          <w:rFonts w:hint="eastAsia" w:eastAsia="宋体" w:cs="Times New Roman"/>
          <w:b/>
          <w:bCs/>
          <w:color w:val="auto"/>
          <w:sz w:val="20"/>
          <w:szCs w:val="20"/>
          <w:highlight w:val="none"/>
          <w:lang w:val="en-US" w:eastAsia="zh-CN" w:bidi="ar-SA"/>
        </w:rPr>
        <w:t>Observation 1: If the UE only support one fixed AoA offset and satisfy the requirements under such AoA offset, the UE may fail to pass the test of dual to dua active TCI state switching from [RS 1, RS 3] to [RS 2, RS 4].</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around the test case design for simultaneous DL reception from different directions</w:t>
      </w:r>
      <w:r>
        <w:rPr>
          <w:rFonts w:eastAsia="宋体"/>
          <w:bCs/>
          <w:color w:val="auto"/>
          <w:sz w:val="20"/>
          <w:szCs w:val="20"/>
          <w:lang w:val="en-GB" w:eastAsia="zh-CN"/>
        </w:rPr>
        <w:t>:</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Introduce test cases to verify the fast beam sweeping, the candidate test case including the SSB based GBBR L1-RSRP measurement, non-GBBR L1-RSRP measurement, RLM, BFD and CBD.</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It is suggested to verify the dual to dual active TCI state switching from [RS 1, RS 2] to [RS 1, RS3] under the assumption of 3 active probes.</w:t>
      </w:r>
    </w:p>
    <w:p>
      <w:pPr>
        <w:bidi w:val="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If the UE only support one fixed AoA offset and satisfy the requirements under such AoA offset, the UE may fail to pass the test of dual to dua active TCI state switching from [RS 1, RS 3] to [RS 2, RS 4].</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6"/>
        </w:numPr>
        <w:ind w:leftChars="0"/>
        <w:rPr>
          <w:rFonts w:hint="eastAsia"/>
          <w:color w:val="auto"/>
          <w:highlight w:val="none"/>
          <w:lang w:val="en-US" w:eastAsia="zh-CN"/>
        </w:rPr>
      </w:pPr>
      <w:r>
        <w:rPr>
          <w:rFonts w:hint="eastAsia"/>
          <w:color w:val="auto"/>
          <w:highlight w:val="none"/>
          <w:lang w:val="en-US" w:eastAsia="zh-CN"/>
        </w:rPr>
        <w:t>R4-2403560 “WF on core maintenance and performance part for multi-Rx WI”, vivo, Ericsson.</w:t>
      </w:r>
    </w:p>
    <w:p>
      <w:pPr>
        <w:pStyle w:val="9"/>
        <w:numPr>
          <w:ilvl w:val="0"/>
          <w:numId w:val="0"/>
        </w:numPr>
        <w:snapToGrid w:val="0"/>
        <w:spacing w:before="120"/>
        <w:contextualSpacing w:val="0"/>
        <w:jc w:val="both"/>
        <w:rPr>
          <w:rFonts w:hint="eastAsia"/>
          <w:color w:val="auto"/>
          <w:highlight w:val="none"/>
          <w:lang w:val="en-US" w:eastAsia="zh-CN"/>
        </w:rPr>
      </w:pP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E5EB3A"/>
    <w:multiLevelType w:val="singleLevel"/>
    <w:tmpl w:val="A8E5EB3A"/>
    <w:lvl w:ilvl="0" w:tentative="0">
      <w:start w:val="1"/>
      <w:numFmt w:val="decimal"/>
      <w:suff w:val="space"/>
      <w:lvlText w:val="[%1]"/>
      <w:lvlJc w:val="left"/>
    </w:lvl>
  </w:abstractNum>
  <w:abstractNum w:abstractNumId="1">
    <w:nsid w:val="D932D0A5"/>
    <w:multiLevelType w:val="singleLevel"/>
    <w:tmpl w:val="D932D0A5"/>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pStyle w:val="58"/>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F004C"/>
    <w:rsid w:val="01AB1C95"/>
    <w:rsid w:val="01F87456"/>
    <w:rsid w:val="02122247"/>
    <w:rsid w:val="02150C3F"/>
    <w:rsid w:val="022C3A09"/>
    <w:rsid w:val="028B6A1D"/>
    <w:rsid w:val="028F1C3E"/>
    <w:rsid w:val="037D0CB3"/>
    <w:rsid w:val="03AB21AA"/>
    <w:rsid w:val="03D4720A"/>
    <w:rsid w:val="03E04DEA"/>
    <w:rsid w:val="04151694"/>
    <w:rsid w:val="04654053"/>
    <w:rsid w:val="04793516"/>
    <w:rsid w:val="047A3CFF"/>
    <w:rsid w:val="04885243"/>
    <w:rsid w:val="05317828"/>
    <w:rsid w:val="05477E90"/>
    <w:rsid w:val="059B5F9B"/>
    <w:rsid w:val="05BB5AB9"/>
    <w:rsid w:val="05C42923"/>
    <w:rsid w:val="05F562DB"/>
    <w:rsid w:val="0611163E"/>
    <w:rsid w:val="064D7C1A"/>
    <w:rsid w:val="068411C2"/>
    <w:rsid w:val="06963BA6"/>
    <w:rsid w:val="06965F3C"/>
    <w:rsid w:val="07CD3CDD"/>
    <w:rsid w:val="084B363C"/>
    <w:rsid w:val="0855671D"/>
    <w:rsid w:val="086B0D4A"/>
    <w:rsid w:val="089009EB"/>
    <w:rsid w:val="09716BCA"/>
    <w:rsid w:val="098C1CEA"/>
    <w:rsid w:val="09902DFD"/>
    <w:rsid w:val="09D64B23"/>
    <w:rsid w:val="09E644B8"/>
    <w:rsid w:val="0B12013A"/>
    <w:rsid w:val="0B180D3D"/>
    <w:rsid w:val="0B1C5C6A"/>
    <w:rsid w:val="0B243EFB"/>
    <w:rsid w:val="0B3D3C2F"/>
    <w:rsid w:val="0B5D15B4"/>
    <w:rsid w:val="0B635839"/>
    <w:rsid w:val="0BAC06FA"/>
    <w:rsid w:val="0BB0429A"/>
    <w:rsid w:val="0BFF5FC6"/>
    <w:rsid w:val="0C276675"/>
    <w:rsid w:val="0C394019"/>
    <w:rsid w:val="0C5D15E1"/>
    <w:rsid w:val="0D2538B5"/>
    <w:rsid w:val="0E6576E8"/>
    <w:rsid w:val="0EC91588"/>
    <w:rsid w:val="0F6C0B73"/>
    <w:rsid w:val="0F8009F9"/>
    <w:rsid w:val="1093739F"/>
    <w:rsid w:val="10997F43"/>
    <w:rsid w:val="10DE7BAE"/>
    <w:rsid w:val="11023BFD"/>
    <w:rsid w:val="110404BB"/>
    <w:rsid w:val="111C20F6"/>
    <w:rsid w:val="11ED345F"/>
    <w:rsid w:val="11FC305B"/>
    <w:rsid w:val="120774A3"/>
    <w:rsid w:val="12580C13"/>
    <w:rsid w:val="130B3696"/>
    <w:rsid w:val="14006D19"/>
    <w:rsid w:val="1414436B"/>
    <w:rsid w:val="1481754F"/>
    <w:rsid w:val="148F5721"/>
    <w:rsid w:val="14AC57CD"/>
    <w:rsid w:val="14B14D17"/>
    <w:rsid w:val="14F02E19"/>
    <w:rsid w:val="15981580"/>
    <w:rsid w:val="15E1212F"/>
    <w:rsid w:val="15ED3E9B"/>
    <w:rsid w:val="15FD475B"/>
    <w:rsid w:val="164514BE"/>
    <w:rsid w:val="170F06AA"/>
    <w:rsid w:val="17225508"/>
    <w:rsid w:val="176C2D6D"/>
    <w:rsid w:val="180A6E32"/>
    <w:rsid w:val="183F2CD2"/>
    <w:rsid w:val="1856323E"/>
    <w:rsid w:val="18AF55E3"/>
    <w:rsid w:val="18B1519A"/>
    <w:rsid w:val="18CD0507"/>
    <w:rsid w:val="195D7D48"/>
    <w:rsid w:val="19852D03"/>
    <w:rsid w:val="19915A0D"/>
    <w:rsid w:val="19ED20B7"/>
    <w:rsid w:val="1A6F1A83"/>
    <w:rsid w:val="1AD01A1B"/>
    <w:rsid w:val="1B4C5221"/>
    <w:rsid w:val="1B61065A"/>
    <w:rsid w:val="1BBF3927"/>
    <w:rsid w:val="1C177B08"/>
    <w:rsid w:val="1C3861F8"/>
    <w:rsid w:val="1C9001C6"/>
    <w:rsid w:val="1CBA2101"/>
    <w:rsid w:val="1D0573D7"/>
    <w:rsid w:val="1D153DC4"/>
    <w:rsid w:val="1D223E0B"/>
    <w:rsid w:val="1D3A54CD"/>
    <w:rsid w:val="1DB321FB"/>
    <w:rsid w:val="1DF33EB1"/>
    <w:rsid w:val="1E132F88"/>
    <w:rsid w:val="1E2867E9"/>
    <w:rsid w:val="1E853F6F"/>
    <w:rsid w:val="1E9C7BCC"/>
    <w:rsid w:val="1EC8648D"/>
    <w:rsid w:val="1ECC1E3C"/>
    <w:rsid w:val="1F056338"/>
    <w:rsid w:val="1FAE57D9"/>
    <w:rsid w:val="1FFD4083"/>
    <w:rsid w:val="20122D1B"/>
    <w:rsid w:val="202F3D4C"/>
    <w:rsid w:val="206261AF"/>
    <w:rsid w:val="20E2786E"/>
    <w:rsid w:val="21014C39"/>
    <w:rsid w:val="21045DF0"/>
    <w:rsid w:val="21244EB1"/>
    <w:rsid w:val="213964D8"/>
    <w:rsid w:val="21595D04"/>
    <w:rsid w:val="21835807"/>
    <w:rsid w:val="21F13629"/>
    <w:rsid w:val="2305377E"/>
    <w:rsid w:val="23184B10"/>
    <w:rsid w:val="231A76D5"/>
    <w:rsid w:val="23BE460D"/>
    <w:rsid w:val="24122135"/>
    <w:rsid w:val="24D4257E"/>
    <w:rsid w:val="24F5519F"/>
    <w:rsid w:val="2572202B"/>
    <w:rsid w:val="25762D04"/>
    <w:rsid w:val="25AE612B"/>
    <w:rsid w:val="2605683C"/>
    <w:rsid w:val="265F2C81"/>
    <w:rsid w:val="26661176"/>
    <w:rsid w:val="26BB1419"/>
    <w:rsid w:val="27315D1D"/>
    <w:rsid w:val="27B748AA"/>
    <w:rsid w:val="27CB4CB9"/>
    <w:rsid w:val="27CC4452"/>
    <w:rsid w:val="281C2F58"/>
    <w:rsid w:val="292D5BF2"/>
    <w:rsid w:val="292F6239"/>
    <w:rsid w:val="29642C4B"/>
    <w:rsid w:val="29A66B9A"/>
    <w:rsid w:val="29C910E9"/>
    <w:rsid w:val="2A34628C"/>
    <w:rsid w:val="2A724D05"/>
    <w:rsid w:val="2A7E505C"/>
    <w:rsid w:val="2AC85686"/>
    <w:rsid w:val="2AD04B5F"/>
    <w:rsid w:val="2B39549B"/>
    <w:rsid w:val="2BC05B2C"/>
    <w:rsid w:val="2BD617C5"/>
    <w:rsid w:val="2C112837"/>
    <w:rsid w:val="2C360608"/>
    <w:rsid w:val="2D452F54"/>
    <w:rsid w:val="2E014790"/>
    <w:rsid w:val="2EAE66A3"/>
    <w:rsid w:val="2EE77680"/>
    <w:rsid w:val="2F2F0FC8"/>
    <w:rsid w:val="2F591020"/>
    <w:rsid w:val="2F8E63A4"/>
    <w:rsid w:val="301C6BB6"/>
    <w:rsid w:val="30723652"/>
    <w:rsid w:val="30766FB2"/>
    <w:rsid w:val="319708F2"/>
    <w:rsid w:val="31B14C9E"/>
    <w:rsid w:val="31FE2981"/>
    <w:rsid w:val="325F683F"/>
    <w:rsid w:val="33C522D7"/>
    <w:rsid w:val="33F228A5"/>
    <w:rsid w:val="347C19A0"/>
    <w:rsid w:val="34807672"/>
    <w:rsid w:val="351B1E30"/>
    <w:rsid w:val="3584768A"/>
    <w:rsid w:val="358E5935"/>
    <w:rsid w:val="35B06C6A"/>
    <w:rsid w:val="36941AA2"/>
    <w:rsid w:val="36D37423"/>
    <w:rsid w:val="37323407"/>
    <w:rsid w:val="3792754D"/>
    <w:rsid w:val="379D23F9"/>
    <w:rsid w:val="37B3111D"/>
    <w:rsid w:val="37E74183"/>
    <w:rsid w:val="3A185287"/>
    <w:rsid w:val="3A1F46B8"/>
    <w:rsid w:val="3A692CD0"/>
    <w:rsid w:val="3AD96376"/>
    <w:rsid w:val="3B0B5FA6"/>
    <w:rsid w:val="3B1210C9"/>
    <w:rsid w:val="3B270929"/>
    <w:rsid w:val="3B3D5571"/>
    <w:rsid w:val="3B5D276F"/>
    <w:rsid w:val="3B673620"/>
    <w:rsid w:val="3B9A1F29"/>
    <w:rsid w:val="3BCF6377"/>
    <w:rsid w:val="3C6E1F42"/>
    <w:rsid w:val="3CB972C3"/>
    <w:rsid w:val="3CE4646B"/>
    <w:rsid w:val="3D5E7AA8"/>
    <w:rsid w:val="3D6F2596"/>
    <w:rsid w:val="3F211072"/>
    <w:rsid w:val="3F5E503E"/>
    <w:rsid w:val="3F62033F"/>
    <w:rsid w:val="401A457A"/>
    <w:rsid w:val="405F175E"/>
    <w:rsid w:val="40737877"/>
    <w:rsid w:val="40A811A8"/>
    <w:rsid w:val="40C765F3"/>
    <w:rsid w:val="41C755BE"/>
    <w:rsid w:val="42424160"/>
    <w:rsid w:val="42B16B47"/>
    <w:rsid w:val="42EA1DDB"/>
    <w:rsid w:val="42F869D2"/>
    <w:rsid w:val="433C2CAC"/>
    <w:rsid w:val="43553536"/>
    <w:rsid w:val="444E111A"/>
    <w:rsid w:val="44972678"/>
    <w:rsid w:val="44C465F8"/>
    <w:rsid w:val="451632B9"/>
    <w:rsid w:val="45906394"/>
    <w:rsid w:val="45D40A2F"/>
    <w:rsid w:val="45F60A50"/>
    <w:rsid w:val="46142D0C"/>
    <w:rsid w:val="463A5AC1"/>
    <w:rsid w:val="46970A81"/>
    <w:rsid w:val="46B036BF"/>
    <w:rsid w:val="47282363"/>
    <w:rsid w:val="476B3528"/>
    <w:rsid w:val="47C726B0"/>
    <w:rsid w:val="490A77CA"/>
    <w:rsid w:val="49DC4EAC"/>
    <w:rsid w:val="49E55BC5"/>
    <w:rsid w:val="4AAF3847"/>
    <w:rsid w:val="4AFE1D19"/>
    <w:rsid w:val="4C1C63D6"/>
    <w:rsid w:val="4C864A35"/>
    <w:rsid w:val="4CB4652D"/>
    <w:rsid w:val="4CFC7A6A"/>
    <w:rsid w:val="4E015C76"/>
    <w:rsid w:val="4E310026"/>
    <w:rsid w:val="4E3448DA"/>
    <w:rsid w:val="4E4A2325"/>
    <w:rsid w:val="4E702749"/>
    <w:rsid w:val="4EC85323"/>
    <w:rsid w:val="4EDB3464"/>
    <w:rsid w:val="4FD47992"/>
    <w:rsid w:val="501A6C55"/>
    <w:rsid w:val="51234069"/>
    <w:rsid w:val="51B14BED"/>
    <w:rsid w:val="52123F2A"/>
    <w:rsid w:val="52526454"/>
    <w:rsid w:val="525C1CEF"/>
    <w:rsid w:val="528B5767"/>
    <w:rsid w:val="52A77D4F"/>
    <w:rsid w:val="52D33625"/>
    <w:rsid w:val="52FD1C01"/>
    <w:rsid w:val="52FD33B4"/>
    <w:rsid w:val="536E37BE"/>
    <w:rsid w:val="5372021A"/>
    <w:rsid w:val="53A3105E"/>
    <w:rsid w:val="53C64B93"/>
    <w:rsid w:val="548A6C60"/>
    <w:rsid w:val="54AA3425"/>
    <w:rsid w:val="54E07F19"/>
    <w:rsid w:val="55570903"/>
    <w:rsid w:val="55B1164D"/>
    <w:rsid w:val="55B4735E"/>
    <w:rsid w:val="55BB221D"/>
    <w:rsid w:val="55DB1478"/>
    <w:rsid w:val="56371459"/>
    <w:rsid w:val="56484633"/>
    <w:rsid w:val="56C72241"/>
    <w:rsid w:val="574B3EB2"/>
    <w:rsid w:val="57995B9F"/>
    <w:rsid w:val="58D0053D"/>
    <w:rsid w:val="59064002"/>
    <w:rsid w:val="595006D6"/>
    <w:rsid w:val="598C40A0"/>
    <w:rsid w:val="59B61150"/>
    <w:rsid w:val="59DA647E"/>
    <w:rsid w:val="5A556E1A"/>
    <w:rsid w:val="5C1166E3"/>
    <w:rsid w:val="5C9303D3"/>
    <w:rsid w:val="5E2864D0"/>
    <w:rsid w:val="5E494511"/>
    <w:rsid w:val="5E7C620B"/>
    <w:rsid w:val="5EB44FC0"/>
    <w:rsid w:val="5EB81F13"/>
    <w:rsid w:val="5EDA64BC"/>
    <w:rsid w:val="5FBA395F"/>
    <w:rsid w:val="60B92183"/>
    <w:rsid w:val="60EC2CBA"/>
    <w:rsid w:val="60ED68FB"/>
    <w:rsid w:val="61333986"/>
    <w:rsid w:val="61661B78"/>
    <w:rsid w:val="61CC2D28"/>
    <w:rsid w:val="62966A9E"/>
    <w:rsid w:val="62DE3B93"/>
    <w:rsid w:val="630C63B9"/>
    <w:rsid w:val="63454F29"/>
    <w:rsid w:val="635902CD"/>
    <w:rsid w:val="642A3E76"/>
    <w:rsid w:val="645E1DDB"/>
    <w:rsid w:val="64706BBE"/>
    <w:rsid w:val="64994B22"/>
    <w:rsid w:val="64F2095B"/>
    <w:rsid w:val="65267327"/>
    <w:rsid w:val="658E7A29"/>
    <w:rsid w:val="65D63F94"/>
    <w:rsid w:val="66036AF7"/>
    <w:rsid w:val="67A858DB"/>
    <w:rsid w:val="67FE4166"/>
    <w:rsid w:val="68AD2162"/>
    <w:rsid w:val="68C401C3"/>
    <w:rsid w:val="69045D7F"/>
    <w:rsid w:val="693027BF"/>
    <w:rsid w:val="6968769B"/>
    <w:rsid w:val="69831B57"/>
    <w:rsid w:val="69A833BD"/>
    <w:rsid w:val="69FB3F8F"/>
    <w:rsid w:val="6A2764B6"/>
    <w:rsid w:val="6A5D78D5"/>
    <w:rsid w:val="6A85354A"/>
    <w:rsid w:val="6B16149A"/>
    <w:rsid w:val="6C8E0C06"/>
    <w:rsid w:val="6D566F0F"/>
    <w:rsid w:val="6D836F72"/>
    <w:rsid w:val="6D986E55"/>
    <w:rsid w:val="6DC2026F"/>
    <w:rsid w:val="6DDE3DAF"/>
    <w:rsid w:val="6E281030"/>
    <w:rsid w:val="6E2C7D5B"/>
    <w:rsid w:val="6E3241BE"/>
    <w:rsid w:val="6EB0655E"/>
    <w:rsid w:val="6EB97A9D"/>
    <w:rsid w:val="6EF10A90"/>
    <w:rsid w:val="6EF62474"/>
    <w:rsid w:val="6FD45BF8"/>
    <w:rsid w:val="6FFF1868"/>
    <w:rsid w:val="70332195"/>
    <w:rsid w:val="71507435"/>
    <w:rsid w:val="715F4C2D"/>
    <w:rsid w:val="721C3FA1"/>
    <w:rsid w:val="722F78FB"/>
    <w:rsid w:val="723D67C5"/>
    <w:rsid w:val="7250627B"/>
    <w:rsid w:val="72BC50C5"/>
    <w:rsid w:val="72BF60CA"/>
    <w:rsid w:val="72F41282"/>
    <w:rsid w:val="733D0D32"/>
    <w:rsid w:val="73D411F1"/>
    <w:rsid w:val="74165422"/>
    <w:rsid w:val="74BE645E"/>
    <w:rsid w:val="753811DE"/>
    <w:rsid w:val="7566040A"/>
    <w:rsid w:val="757733D9"/>
    <w:rsid w:val="75A7114C"/>
    <w:rsid w:val="75BE67D4"/>
    <w:rsid w:val="75C2004C"/>
    <w:rsid w:val="75C759C1"/>
    <w:rsid w:val="75EE43B7"/>
    <w:rsid w:val="760F5DAE"/>
    <w:rsid w:val="762D64F3"/>
    <w:rsid w:val="767E7EFF"/>
    <w:rsid w:val="769550C6"/>
    <w:rsid w:val="76FA1DD9"/>
    <w:rsid w:val="775B4604"/>
    <w:rsid w:val="77C067C3"/>
    <w:rsid w:val="77EA64D7"/>
    <w:rsid w:val="78911E31"/>
    <w:rsid w:val="7922350F"/>
    <w:rsid w:val="792B5470"/>
    <w:rsid w:val="79762E65"/>
    <w:rsid w:val="79C637D8"/>
    <w:rsid w:val="79F762D6"/>
    <w:rsid w:val="7A9367CB"/>
    <w:rsid w:val="7AA10DE7"/>
    <w:rsid w:val="7AC34BA7"/>
    <w:rsid w:val="7AF22571"/>
    <w:rsid w:val="7B69224B"/>
    <w:rsid w:val="7BE80F25"/>
    <w:rsid w:val="7C1C35A7"/>
    <w:rsid w:val="7C45431D"/>
    <w:rsid w:val="7C91731B"/>
    <w:rsid w:val="7D243E1C"/>
    <w:rsid w:val="7D3219D5"/>
    <w:rsid w:val="7DDD0501"/>
    <w:rsid w:val="7DE51372"/>
    <w:rsid w:val="7E5E590F"/>
    <w:rsid w:val="7E935AFB"/>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2024-04-08T13:09:51Z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EAF17918DD704348B61385A92D55832E</vt:lpwstr>
  </property>
</Properties>
</file>